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Ewidencja godzin wolontariatu</w:t>
      </w:r>
    </w:p>
    <w:p>
      <w:pPr>
        <w:spacing w:after="240"/>
      </w:pPr>
      <w:r>
        <w:t>Okres sprawozdawczy programu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Program / wydarzenie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Czynność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Potwierdź, czy szkolenia i dojazdy się liczą.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