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Półmiesięczna ewidencja czasu pracy</w:t>
      </w:r>
    </w:p>
    <w:p>
      <w:pPr>
        <w:spacing w:after="240"/>
      </w:pPr>
      <w:r>
        <w:t>Jeden okres półmiesięczny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Okres / uwagi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Pół miesiąca nie zawsze oznacza piętnaście dni.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Semimonthly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