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w gastronomii</w:t>
      </w:r>
    </w:p>
    <w:p>
      <w:pPr>
        <w:spacing w:after="240"/>
      </w:pPr>
      <w:r>
        <w:t>Okres sprawozdawczy gastronomii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Stanowisko / rola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Uwaga do zmiany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oddzielnych wierszy dla rozdzielonych zmian.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