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Zamówienie ramowe</w:t>
      </w:r>
    </w:p>
    <w:p>
      <w:r>
        <w:t>Zamówienie wystawione przez kupującego. Przed zobowiązaniem potwierdź akceptację dostawcy i właściwe warunki.</w:t>
      </w:r>
    </w:p>
    <w:p>
      <w:pPr>
        <w:spacing w:after="160"/>
      </w:pPr>
      <w:r>
        <w:t>Dane kupującego: __________________________ Dane dostawcy: __________________________</w:t>
      </w:r>
    </w:p>
    <w:p>
      <w:pPr>
        <w:spacing w:after="160"/>
      </w:pPr>
      <w:r>
        <w:t>Oznaczenie zamówienia ramowego: __________________________ Ważne od / do: __________________________</w:t>
      </w:r>
    </w:p>
    <w:p>
      <w:pPr>
        <w:spacing w:after="160"/>
      </w:pPr>
      <w:r>
        <w:t>Maksymalna zatwierdzona wartość: __________________________ Proces zamówień cząstkowych: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Jednostka / zakres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Zamówienie wystawione przez kupującego. Przed zobowiązaniem potwierdź akceptację dostawcy i właściwe warunki.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Zamówienie ramowe nie jest pojedynczym żądaniem dostawy.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