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godzin do rozliczenia z klientem</w:t>
      </w:r>
    </w:p>
    <w:p>
      <w:pPr>
        <w:spacing w:after="240"/>
      </w:pPr>
      <w:r>
        <w:t>Okres rozliczeniowy klienta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Klient / sprawa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Do rozliczenia?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Sumy wszystkich godzin nie są sumami faktury.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Billable-hours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