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建設業勤務時間表</w:t>
      </w:r>
    </w:p>
    <w:p>
      <w:pPr>
        <w:spacing w:after="240"/>
      </w:pPr>
      <w:r>
        <w:t>現場の報告期間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現場・原価コード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職種・作業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ページ内時間合計：__________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現場移動は別の行にしてください。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建設業勤務時間表</w:t>
      </w:r>
    </w:p>
    <w:p>
      <w:pPr>
        <w:spacing w:after="240"/>
      </w:pPr>
      <w:r>
        <w:t>現場の報告期間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現場・原価コード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職種・作業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ページ内時間合計：__________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現場移動は別の行にしてください。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