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metà mese</w:t>
      </w:r>
    </w:p>
    <w:p>
      <w:pPr>
        <w:spacing w:after="240"/>
      </w:pPr>
      <w:r>
        <w:t>Un periodo di metà mese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Periodo / note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Metà mese non equivale sempre a quindici giorni.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