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fatturabili</w:t>
      </w:r>
    </w:p>
    <w:p>
      <w:pPr>
        <w:spacing w:after="240"/>
      </w:pPr>
      <w:r>
        <w:t>Periodo di fatturazione cliente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Cliente / pratica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Fatturabile?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I totali di tutte le ore non sono totali da fatturare.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Billable-hours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