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par demi-mois</w:t>
      </w:r>
    </w:p>
    <w:p>
      <w:pPr>
        <w:spacing w:after="240"/>
      </w:pPr>
      <w:r>
        <w:t>Une période d’un demi-mois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Période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Un demi-mois ne dure pas toujours quinze jours.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