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des heures supplémentaires</w:t>
      </w:r>
    </w:p>
    <w:p>
      <w:pPr>
        <w:spacing w:after="240"/>
      </w:pPr>
      <w:r>
        <w:t>Période de vérification choisie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Catégorie d’heures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Note de vérification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Ne supposez pas un seuil universel de quarante heures.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