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Feuille de temps multi-salariés</w:t>
      </w:r>
    </w:p>
    <w:p>
      <w:pPr>
        <w:spacing w:after="240"/>
      </w:pPr>
      <w:r>
        <w:t>Période de suivi d’équipe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Personne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Affectation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de la page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Ne regroupez jamais deux personnes sur une seule ligne de service.</w:t>
      </w:r>
    </w:p>
    <w:p>
      <w:r>
        <w:br w:type="page"/>
      </w:r>
    </w:p>
    <w:p>
      <w:pPr>
        <w:pStyle w:val="Title"/>
        <w:spacing w:after="100"/>
      </w:pPr>
      <w:r>
        <w:rPr>
          <w:b/>
          <w:color w:val="000000"/>
          <w:sz w:val="44"/>
        </w:rPr>
        <w:t>Feuille de temps multi-salariés</w:t>
      </w:r>
    </w:p>
    <w:p>
      <w:pPr>
        <w:spacing w:after="240"/>
      </w:pPr>
      <w:r>
        <w:t>Période de suivi d’équipe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Personne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Affectation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de la page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Ne regroupez jamais deux personnes sur une seule ligne de service.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Suivi numérique des heures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Multiple-employee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