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indépendant</w:t>
      </w:r>
    </w:p>
    <w:p>
      <w:pPr>
        <w:spacing w:after="240"/>
      </w:pPr>
      <w:r>
        <w:t>Période de suivi client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Client / livrable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Facturable 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Séparez les relevés des clients lorsque vous les partagez.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