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prestataire</w:t>
      </w:r>
    </w:p>
    <w:p>
      <w:pPr>
        <w:spacing w:after="240"/>
      </w:pPr>
      <w:r>
        <w:t>Période de suivi prestataire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Mission / ordre de travail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N’incluez pas les matériaux dans les totaux d’heures.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