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chantier</w:t>
      </w:r>
    </w:p>
    <w:p>
      <w:pPr>
        <w:spacing w:after="240"/>
      </w:pPr>
      <w:r>
        <w:t>Période de suivi du chantier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Chantier / code de coût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Métier / activité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de la page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des lignes séparées pour un transfert de chantier.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Feuille de temps chantier</w:t>
      </w:r>
    </w:p>
    <w:p>
      <w:pPr>
        <w:spacing w:after="240"/>
      </w:pPr>
      <w:r>
        <w:t>Période de suivi du chantier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Chantier / code de coût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Métier / activité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de la page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Utilisez des lignes séparées pour un transfert de chantier.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