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 de commande ouvert</w:t>
      </w:r>
    </w:p>
    <w:p>
      <w:r>
        <w:t>Demande de commande émise par l’acheteur. Confirmez l’acceptation du fournisseur et les conditions avant engagement.</w:t>
      </w:r>
    </w:p>
    <w:p>
      <w:pPr>
        <w:spacing w:after="160"/>
      </w:pPr>
      <w:r>
        <w:t>Coordonnées de l’acheteur : __________________________ Coordonnées du fournisseur : __________________________</w:t>
      </w:r>
    </w:p>
    <w:p>
      <w:pPr>
        <w:spacing w:after="160"/>
      </w:pPr>
      <w:r>
        <w:t>Référence de commande ouverte : __________________________ Valable du / au : __________________________</w:t>
      </w:r>
    </w:p>
    <w:p>
      <w:pPr>
        <w:spacing w:after="160"/>
      </w:pPr>
      <w:r>
        <w:t>Montant maximal autorisé : __________________________ Procédure d’appels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Unité / périmètre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commande émise par l’acheteur. Confirmez l’acceptation du fournisseur et les conditions avant engagement.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Une commande ouverte n’est pas une demande de livraison unique.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