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medio mes</w:t>
      </w:r>
    </w:p>
    <w:p>
      <w:pPr>
        <w:spacing w:after="240"/>
      </w:pPr>
      <w:r>
        <w:t>Un período de medio mes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Período / notas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Medio mes no siempre son quince días.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