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niñera</w:t>
      </w:r>
    </w:p>
    <w:p>
      <w:pPr>
        <w:spacing w:after="240"/>
      </w:pPr>
      <w:r>
        <w:t>Período de registro familiar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Código familiar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Notas de la sesión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No incluyas información privada de los menores.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