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construcción</w:t>
      </w:r>
    </w:p>
    <w:p>
      <w:pPr>
        <w:spacing w:after="240"/>
      </w:pPr>
      <w:r>
        <w:t>Período de registro de obra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Obra / código de coste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Oficio / actividad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de horas de la página: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Usa filas separadas para un traslado de obra.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Registro de horas de construcción</w:t>
      </w:r>
    </w:p>
    <w:p>
      <w:pPr>
        <w:spacing w:after="240"/>
      </w:pPr>
      <w:r>
        <w:t>Período de registro de obra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Obra / código de coste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Oficio / actividad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de horas de la página: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Usa filas separadas para un traslado de obra.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