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Semimonthly timesheet</w:t>
      </w:r>
    </w:p>
    <w:p>
      <w:pPr>
        <w:spacing w:after="240"/>
      </w:pPr>
      <w:r>
        <w:t>One half-month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Period / notes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A half-month is not always fifteen days.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Semimonthly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