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Construction timesheet</w:t>
      </w:r>
    </w:p>
    <w:p>
      <w:pPr>
        <w:spacing w:after="240"/>
      </w:pPr>
      <w:r>
        <w:t>Site reporting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Site / cost code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Trade / activity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Page 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Use separate rows for a site transfer.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Construction timesheet</w:t>
      </w:r>
    </w:p>
    <w:p>
      <w:pPr>
        <w:spacing w:after="240"/>
      </w:pPr>
      <w:r>
        <w:t>Site reporting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Site / cost code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Trade / activity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Page 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Use separate rows for a site transfer.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