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Biweekly timesheet</w:t>
      </w:r>
    </w:p>
    <w:p>
      <w:pPr>
        <w:spacing w:after="240"/>
      </w:pPr>
      <w:r>
        <w:t>Two consecutive weeks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Week / notes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Do not substitute calendar halves for fourteen days.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Biweekly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