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den Einzelhandel</w:t>
      </w:r>
    </w:p>
    <w:p>
      <w:pPr>
        <w:spacing w:after="240"/>
      </w:pPr>
      <w:r>
        <w:t>Filialberichtszeitraum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Filiale / Abteilung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Tätigkeit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Setzen Sie Öffnungszeiten nicht mit Arbeitsstunden gleich.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