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Stundenzettel für das Baugewerbe</w:t>
      </w:r>
    </w:p>
    <w:p>
      <w:pPr>
        <w:spacing w:after="240"/>
      </w:pPr>
      <w:r>
        <w:t>Baustellenberichtszeitraum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Baustelle / Kostencode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Gewerk / Tätigkeit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 der Seite: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Verwenden Sie bei einem Baustellenwechsel getrennte Zeilen.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Stundenzettel für das Baugewerbe</w:t>
      </w:r>
    </w:p>
    <w:p>
      <w:pPr>
        <w:spacing w:after="240"/>
      </w:pPr>
      <w:r>
        <w:t>Baustellenberichtszeitraum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Baustelle / Kostencode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Gewerk / Tätigkeit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 der Seite: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Verwenden Sie bei einem Baustellenwechsel getrennte Zeilen.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