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Betreuungskräfte</w:t>
      </w:r>
    </w:p>
    <w:p>
      <w:pPr>
        <w:spacing w:after="240"/>
      </w:pPr>
      <w:r>
        <w:t>Berichtszeitraum für Betreuungsarbeit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Einsatzcode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Arbeitskategorie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Halten Sie Gesundheits- und Medikamenteninformationen aus der Tabelle heraus.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Caregiver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