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Zweiwöchentlicher Stundenzettel</w:t>
      </w:r>
    </w:p>
    <w:p>
      <w:pPr>
        <w:spacing w:after="240"/>
      </w:pPr>
      <w:r>
        <w:t>Zwei aufeinanderfolgende Wochen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Woche / Notizen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Ersetzen Sie vierzehn Tage nicht durch Kalenderhälften.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