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abrechenbare Stunden</w:t>
      </w:r>
    </w:p>
    <w:p>
      <w:pPr>
        <w:spacing w:after="240"/>
      </w:pPr>
      <w:r>
        <w:t>Kundenabrechnungszeitraum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Kunde / Vorgang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Abrechenbar?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Gesamtstundensummen sind keine Rechnungssummen.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